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434" w:rsidRPr="00851434" w:rsidRDefault="00851434" w:rsidP="00851434">
      <w:pPr>
        <w:spacing w:line="240" w:lineRule="auto"/>
        <w:jc w:val="distribute"/>
        <w:rPr>
          <w:rFonts w:ascii="方正小标宋简体" w:eastAsia="方正小标宋简体"/>
          <w:color w:val="FF0000"/>
          <w:spacing w:val="-20"/>
          <w:w w:val="70"/>
          <w:sz w:val="96"/>
          <w:szCs w:val="72"/>
        </w:rPr>
      </w:pPr>
      <w:r w:rsidRPr="00851434">
        <w:rPr>
          <w:rFonts w:ascii="方正小标宋简体" w:eastAsia="方正小标宋简体" w:hint="eastAsia"/>
          <w:color w:val="FF0000"/>
          <w:spacing w:val="-20"/>
          <w:w w:val="70"/>
          <w:sz w:val="96"/>
          <w:szCs w:val="72"/>
        </w:rPr>
        <w:t>浙江工商大学教育基金会文件</w:t>
      </w:r>
    </w:p>
    <w:p w:rsidR="00851434" w:rsidRDefault="00851434" w:rsidP="00851434">
      <w:pPr>
        <w:spacing w:line="560" w:lineRule="exact"/>
        <w:jc w:val="center"/>
        <w:rPr>
          <w:rFonts w:ascii="仿宋" w:eastAsia="仿宋" w:hAnsi="仿宋" w:cs="仿宋_GB2312"/>
          <w:kern w:val="0"/>
          <w:sz w:val="32"/>
          <w:szCs w:val="32"/>
        </w:rPr>
      </w:pPr>
    </w:p>
    <w:p w:rsidR="00851434" w:rsidRDefault="00851434" w:rsidP="00851434">
      <w:pPr>
        <w:spacing w:line="560" w:lineRule="exact"/>
        <w:jc w:val="center"/>
        <w:rPr>
          <w:rFonts w:ascii="仿宋" w:eastAsia="仿宋" w:hAnsi="仿宋" w:cs="仿宋_GB2312"/>
          <w:kern w:val="0"/>
          <w:sz w:val="32"/>
          <w:szCs w:val="32"/>
        </w:rPr>
      </w:pPr>
      <w:r w:rsidRPr="00F2081B">
        <w:rPr>
          <w:rFonts w:ascii="仿宋" w:eastAsia="仿宋" w:hAnsi="仿宋" w:cs="仿宋_GB2312" w:hint="eastAsia"/>
          <w:kern w:val="0"/>
          <w:sz w:val="32"/>
          <w:szCs w:val="32"/>
        </w:rPr>
        <w:t>〔</w:t>
      </w:r>
      <w:r w:rsidRPr="00F2081B">
        <w:rPr>
          <w:rFonts w:ascii="仿宋" w:eastAsia="仿宋" w:hAnsi="仿宋" w:cs="仿宋_GB2312"/>
          <w:kern w:val="0"/>
          <w:sz w:val="32"/>
          <w:szCs w:val="32"/>
        </w:rPr>
        <w:t>201</w:t>
      </w:r>
      <w:r>
        <w:rPr>
          <w:rFonts w:ascii="仿宋" w:eastAsia="仿宋" w:hAnsi="仿宋" w:cs="仿宋_GB2312" w:hint="eastAsia"/>
          <w:kern w:val="0"/>
          <w:sz w:val="32"/>
          <w:szCs w:val="32"/>
        </w:rPr>
        <w:t>9</w:t>
      </w:r>
      <w:r w:rsidRPr="00F2081B">
        <w:rPr>
          <w:rFonts w:ascii="仿宋" w:eastAsia="仿宋" w:hAnsi="仿宋" w:cs="仿宋_GB2312" w:hint="eastAsia"/>
          <w:kern w:val="0"/>
          <w:sz w:val="32"/>
          <w:szCs w:val="32"/>
        </w:rPr>
        <w:t>〕</w:t>
      </w:r>
      <w:r>
        <w:rPr>
          <w:rFonts w:ascii="仿宋" w:eastAsia="仿宋" w:hAnsi="仿宋" w:cs="仿宋_GB2312" w:hint="eastAsia"/>
          <w:kern w:val="0"/>
          <w:sz w:val="32"/>
          <w:szCs w:val="32"/>
        </w:rPr>
        <w:t>1</w:t>
      </w:r>
      <w:r w:rsidRPr="00F2081B">
        <w:rPr>
          <w:rFonts w:ascii="仿宋" w:eastAsia="仿宋" w:hAnsi="仿宋" w:cs="仿宋_GB2312" w:hint="eastAsia"/>
          <w:kern w:val="0"/>
          <w:sz w:val="32"/>
          <w:szCs w:val="32"/>
        </w:rPr>
        <w:t>号</w:t>
      </w:r>
    </w:p>
    <w:p w:rsidR="00851434" w:rsidRPr="00851434" w:rsidRDefault="00851434" w:rsidP="00851434">
      <w:pPr>
        <w:spacing w:beforeLines="50" w:afterLines="50" w:line="560" w:lineRule="exact"/>
        <w:jc w:val="center"/>
        <w:rPr>
          <w:rFonts w:ascii="仿宋" w:eastAsia="仿宋" w:hAnsi="仿宋" w:cs="仿宋_GB2312" w:hint="eastAsia"/>
          <w:kern w:val="0"/>
          <w:sz w:val="32"/>
          <w:szCs w:val="32"/>
        </w:rPr>
      </w:pPr>
      <w:r>
        <w:rPr>
          <w:rFonts w:ascii="仿宋" w:eastAsia="仿宋" w:hAnsi="仿宋" w:cs="仿宋_GB2312"/>
          <w:noProof/>
          <w:kern w:val="0"/>
          <w:sz w:val="32"/>
          <w:szCs w:val="32"/>
        </w:rPr>
        <w:pict>
          <v:line id="_x0000_s1026" style="position:absolute;left:0;text-align:left;z-index:251660288" from="3.25pt,8.7pt" to="460pt,8.7pt" strokecolor="red" strokeweight="1.5pt"/>
        </w:pict>
      </w:r>
    </w:p>
    <w:p w:rsidR="00CC6C43" w:rsidRPr="00E0180D" w:rsidRDefault="00CC6C43" w:rsidP="00CC6C43">
      <w:pPr>
        <w:jc w:val="center"/>
        <w:rPr>
          <w:rFonts w:ascii="方正小标宋简体" w:eastAsia="方正小标宋简体" w:hAnsi="仿宋" w:cs="仿宋_GB2312"/>
          <w:kern w:val="0"/>
          <w:sz w:val="44"/>
          <w:szCs w:val="44"/>
        </w:rPr>
      </w:pPr>
      <w:r w:rsidRPr="00E0180D">
        <w:rPr>
          <w:rFonts w:ascii="方正小标宋简体" w:eastAsia="方正小标宋简体" w:hAnsi="仿宋" w:cs="仿宋_GB2312" w:hint="eastAsia"/>
          <w:kern w:val="0"/>
          <w:sz w:val="44"/>
          <w:szCs w:val="44"/>
        </w:rPr>
        <w:t>浙江工商大学教育基金会关于印发</w:t>
      </w:r>
    </w:p>
    <w:p w:rsidR="00CC6C43" w:rsidRPr="00E0180D" w:rsidRDefault="00CC6C43" w:rsidP="00CC6C43">
      <w:pPr>
        <w:jc w:val="center"/>
        <w:rPr>
          <w:rFonts w:ascii="方正小标宋简体" w:eastAsia="方正小标宋简体" w:hAnsi="仿宋" w:cs="仿宋_GB2312"/>
          <w:kern w:val="0"/>
          <w:sz w:val="44"/>
          <w:szCs w:val="44"/>
        </w:rPr>
      </w:pPr>
      <w:r w:rsidRPr="00E0180D">
        <w:rPr>
          <w:rFonts w:ascii="方正小标宋简体" w:eastAsia="方正小标宋简体" w:hAnsi="仿宋" w:cs="仿宋_GB2312" w:hint="eastAsia"/>
          <w:kern w:val="0"/>
          <w:sz w:val="44"/>
          <w:szCs w:val="44"/>
        </w:rPr>
        <w:t>投资管理暂行办法的通知</w:t>
      </w:r>
    </w:p>
    <w:p w:rsidR="00CC6C43" w:rsidRPr="00CC6C43" w:rsidRDefault="00CC6C43" w:rsidP="00CC6C43">
      <w:pPr>
        <w:jc w:val="center"/>
        <w:rPr>
          <w:rFonts w:ascii="方正小标宋简体" w:eastAsia="方正小标宋简体" w:hAnsi="仿宋" w:cs="仿宋_GB2312"/>
          <w:kern w:val="0"/>
          <w:sz w:val="40"/>
          <w:szCs w:val="32"/>
        </w:rPr>
      </w:pPr>
    </w:p>
    <w:p w:rsidR="00CC6C43" w:rsidRPr="00CC6C43" w:rsidRDefault="00CC6C43" w:rsidP="00CC6C43">
      <w:pPr>
        <w:jc w:val="left"/>
        <w:rPr>
          <w:rFonts w:ascii="仿宋_GB2312" w:eastAsia="仿宋_GB2312" w:hAnsi="仿宋" w:cs="仿宋_GB2312"/>
          <w:kern w:val="0"/>
          <w:sz w:val="32"/>
          <w:szCs w:val="32"/>
        </w:rPr>
      </w:pPr>
      <w:r w:rsidRPr="00CC6C43">
        <w:rPr>
          <w:rFonts w:ascii="仿宋_GB2312" w:eastAsia="仿宋_GB2312" w:hAnsi="仿宋" w:cs="仿宋_GB2312" w:hint="eastAsia"/>
          <w:kern w:val="0"/>
          <w:sz w:val="32"/>
          <w:szCs w:val="32"/>
        </w:rPr>
        <w:t>各有关单位：</w:t>
      </w:r>
    </w:p>
    <w:p w:rsidR="00CC6C43" w:rsidRPr="00CC6C43" w:rsidRDefault="00CC6C43" w:rsidP="00CC6C43">
      <w:pPr>
        <w:ind w:firstLineChars="200" w:firstLine="640"/>
        <w:jc w:val="left"/>
        <w:rPr>
          <w:rFonts w:ascii="仿宋_GB2312" w:eastAsia="仿宋_GB2312" w:hAnsi="仿宋" w:cs="仿宋_GB2312"/>
          <w:kern w:val="0"/>
          <w:sz w:val="32"/>
          <w:szCs w:val="32"/>
        </w:rPr>
      </w:pPr>
      <w:r w:rsidRPr="00CC6C43">
        <w:rPr>
          <w:rFonts w:ascii="仿宋_GB2312" w:eastAsia="仿宋_GB2312" w:hAnsi="仿宋" w:cs="仿宋_GB2312" w:hint="eastAsia"/>
          <w:kern w:val="0"/>
          <w:sz w:val="32"/>
          <w:szCs w:val="32"/>
        </w:rPr>
        <w:t>《浙江工商大学教育基金会投资管理</w:t>
      </w:r>
      <w:r w:rsidR="00953558">
        <w:rPr>
          <w:rFonts w:ascii="仿宋_GB2312" w:eastAsia="仿宋_GB2312" w:hAnsi="仿宋" w:cs="仿宋_GB2312" w:hint="eastAsia"/>
          <w:kern w:val="0"/>
          <w:sz w:val="32"/>
          <w:szCs w:val="32"/>
        </w:rPr>
        <w:t>暂行</w:t>
      </w:r>
      <w:r w:rsidRPr="00CC6C43">
        <w:rPr>
          <w:rFonts w:ascii="仿宋_GB2312" w:eastAsia="仿宋_GB2312" w:hAnsi="仿宋" w:cs="仿宋_GB2312" w:hint="eastAsia"/>
          <w:kern w:val="0"/>
          <w:sz w:val="32"/>
          <w:szCs w:val="32"/>
        </w:rPr>
        <w:t>办法》已经浙江工商大学教育基金会第二届理事会第五次会议审议通过，现予印发，请遵照执行。</w:t>
      </w:r>
    </w:p>
    <w:p w:rsidR="00CC6C43" w:rsidRPr="00CC6C43" w:rsidRDefault="00CC6C43" w:rsidP="00CC6C43">
      <w:pPr>
        <w:jc w:val="center"/>
        <w:rPr>
          <w:rFonts w:ascii="仿宋_GB2312" w:eastAsia="仿宋_GB2312" w:hAnsi="仿宋" w:cs="仿宋_GB2312"/>
          <w:kern w:val="0"/>
          <w:sz w:val="32"/>
          <w:szCs w:val="32"/>
        </w:rPr>
      </w:pPr>
    </w:p>
    <w:p w:rsidR="00CC6C43" w:rsidRPr="00CC6C43" w:rsidRDefault="00CC6C43" w:rsidP="00CC6C43">
      <w:pPr>
        <w:jc w:val="center"/>
        <w:rPr>
          <w:rFonts w:ascii="仿宋_GB2312" w:eastAsia="仿宋_GB2312" w:hAnsi="仿宋" w:cs="仿宋_GB2312"/>
          <w:kern w:val="0"/>
          <w:sz w:val="32"/>
          <w:szCs w:val="32"/>
        </w:rPr>
      </w:pPr>
    </w:p>
    <w:p w:rsidR="00CC6C43" w:rsidRPr="00CC6C43" w:rsidRDefault="00CC6C43" w:rsidP="00CC6C43">
      <w:pPr>
        <w:jc w:val="center"/>
        <w:rPr>
          <w:rFonts w:ascii="仿宋_GB2312" w:eastAsia="仿宋_GB2312" w:hAnsi="仿宋" w:cs="仿宋_GB2312"/>
          <w:kern w:val="0"/>
          <w:sz w:val="32"/>
          <w:szCs w:val="32"/>
        </w:rPr>
      </w:pPr>
    </w:p>
    <w:p w:rsidR="00CC6C43" w:rsidRPr="00CC6C43" w:rsidRDefault="00CC6C43" w:rsidP="00CC6C43">
      <w:pPr>
        <w:jc w:val="center"/>
        <w:rPr>
          <w:rFonts w:ascii="仿宋_GB2312" w:eastAsia="仿宋_GB2312" w:hAnsi="仿宋" w:cs="仿宋_GB2312"/>
          <w:kern w:val="0"/>
          <w:sz w:val="32"/>
          <w:szCs w:val="32"/>
        </w:rPr>
      </w:pPr>
      <w:r w:rsidRPr="00CC6C43">
        <w:rPr>
          <w:rFonts w:ascii="仿宋_GB2312" w:eastAsia="仿宋_GB2312" w:hAnsi="仿宋" w:cs="仿宋_GB2312" w:hint="eastAsia"/>
          <w:kern w:val="0"/>
          <w:sz w:val="32"/>
          <w:szCs w:val="32"/>
        </w:rPr>
        <w:t xml:space="preserve">                  浙江工商大学教育基金会</w:t>
      </w:r>
    </w:p>
    <w:p w:rsidR="0053519C" w:rsidRDefault="00CC6C43" w:rsidP="00CC6C43">
      <w:pPr>
        <w:jc w:val="center"/>
        <w:rPr>
          <w:rFonts w:ascii="仿宋_GB2312" w:eastAsia="仿宋_GB2312" w:hAnsi="仿宋" w:cs="仿宋_GB2312"/>
          <w:kern w:val="0"/>
          <w:sz w:val="32"/>
          <w:szCs w:val="32"/>
        </w:rPr>
      </w:pPr>
      <w:r w:rsidRPr="00CC6C43">
        <w:rPr>
          <w:rFonts w:ascii="仿宋_GB2312" w:eastAsia="仿宋_GB2312" w:hAnsi="仿宋" w:cs="仿宋_GB2312" w:hint="eastAsia"/>
          <w:kern w:val="0"/>
          <w:sz w:val="32"/>
          <w:szCs w:val="32"/>
        </w:rPr>
        <w:t xml:space="preserve">                  2019年6月4日</w:t>
      </w:r>
    </w:p>
    <w:p w:rsidR="00CC6C43" w:rsidRDefault="00CC6C43" w:rsidP="00CC6C43">
      <w:pPr>
        <w:jc w:val="center"/>
        <w:rPr>
          <w:rFonts w:ascii="仿宋_GB2312" w:eastAsia="仿宋_GB2312" w:hAnsi="仿宋" w:cs="仿宋_GB2312"/>
          <w:kern w:val="0"/>
          <w:sz w:val="32"/>
          <w:szCs w:val="32"/>
        </w:rPr>
      </w:pPr>
    </w:p>
    <w:p w:rsidR="00CC6C43" w:rsidRDefault="00CC6C43" w:rsidP="00CC6C43">
      <w:pPr>
        <w:jc w:val="center"/>
        <w:rPr>
          <w:rFonts w:ascii="仿宋_GB2312" w:eastAsia="仿宋_GB2312" w:hAnsi="仿宋" w:cs="仿宋_GB2312"/>
          <w:kern w:val="0"/>
          <w:sz w:val="32"/>
          <w:szCs w:val="32"/>
        </w:rPr>
      </w:pPr>
    </w:p>
    <w:p w:rsidR="00CC6C43" w:rsidRDefault="00CC6C43" w:rsidP="00CC6C43">
      <w:pPr>
        <w:jc w:val="center"/>
        <w:rPr>
          <w:rFonts w:ascii="仿宋_GB2312" w:eastAsia="仿宋_GB2312" w:hAnsi="仿宋" w:cs="仿宋_GB2312"/>
          <w:kern w:val="0"/>
          <w:sz w:val="32"/>
          <w:szCs w:val="32"/>
        </w:rPr>
      </w:pPr>
    </w:p>
    <w:p w:rsidR="001F23AC" w:rsidRPr="009B4B55" w:rsidRDefault="000D4BB0" w:rsidP="0053519C">
      <w:pPr>
        <w:pStyle w:val="a7"/>
        <w:spacing w:before="0" w:beforeAutospacing="0" w:after="0" w:afterAutospacing="0"/>
        <w:ind w:firstLine="482"/>
        <w:jc w:val="center"/>
        <w:rPr>
          <w:rFonts w:ascii="方正小标宋简体" w:eastAsia="方正小标宋简体" w:hAnsiTheme="minorEastAsia"/>
          <w:bCs/>
          <w:sz w:val="44"/>
          <w:szCs w:val="44"/>
        </w:rPr>
      </w:pPr>
      <w:r w:rsidRPr="009B4B55">
        <w:rPr>
          <w:rFonts w:ascii="方正小标宋简体" w:eastAsia="方正小标宋简体" w:hAnsiTheme="minorEastAsia" w:hint="eastAsia"/>
          <w:bCs/>
          <w:sz w:val="44"/>
          <w:szCs w:val="44"/>
        </w:rPr>
        <w:lastRenderedPageBreak/>
        <w:t>浙江工商大学教育基金会投资管理暂行办法</w:t>
      </w:r>
    </w:p>
    <w:p w:rsidR="001F23AC" w:rsidRPr="00686ACE" w:rsidRDefault="001F23AC" w:rsidP="0053519C">
      <w:pPr>
        <w:pStyle w:val="a7"/>
        <w:spacing w:before="0" w:beforeAutospacing="0" w:after="0" w:afterAutospacing="0"/>
        <w:jc w:val="center"/>
        <w:rPr>
          <w:rFonts w:ascii="仿宋_GB2312" w:eastAsia="仿宋_GB2312" w:hAnsi="仿宋"/>
          <w:b/>
          <w:bCs/>
          <w:sz w:val="32"/>
          <w:szCs w:val="32"/>
        </w:rPr>
      </w:pPr>
    </w:p>
    <w:p w:rsidR="001F23AC" w:rsidRDefault="000D4BB0" w:rsidP="0053519C">
      <w:pPr>
        <w:pStyle w:val="a7"/>
        <w:spacing w:before="0" w:beforeAutospacing="0" w:after="0" w:afterAutospacing="0"/>
        <w:jc w:val="center"/>
        <w:rPr>
          <w:rFonts w:ascii="黑体" w:eastAsia="黑体" w:hAnsi="黑体"/>
          <w:sz w:val="32"/>
          <w:szCs w:val="32"/>
        </w:rPr>
      </w:pPr>
      <w:r>
        <w:rPr>
          <w:rFonts w:ascii="黑体" w:eastAsia="黑体" w:hAnsi="黑体" w:hint="eastAsia"/>
          <w:bCs/>
          <w:sz w:val="32"/>
          <w:szCs w:val="32"/>
        </w:rPr>
        <w:t>第一章  总  则</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第一条</w:t>
      </w:r>
      <w:r>
        <w:rPr>
          <w:rFonts w:ascii="仿宋_GB2312" w:eastAsia="仿宋_GB2312" w:hint="eastAsia"/>
          <w:sz w:val="32"/>
          <w:szCs w:val="32"/>
        </w:rPr>
        <w:t xml:space="preserve">  为了规范浙江工商大学教育基金会（以下简称“基金会”）投资活动，防范资金运用风险，实现资金的保值增值，使资金更好地用于基金会章程规定的公益事业，促进基金会持续健康发展，根据《中华人民共和国慈善法》《基金会管理条例》民政部《关于规范基金会行为的若干规定（试行）》《慈善组织保值增值投资活动管理暂行办法》《浙江工商大学教育基金会章程》等有关规定，结合基金会实际，制定本暂行办法。</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sz w:val="32"/>
          <w:szCs w:val="32"/>
        </w:rPr>
        <w:t xml:space="preserve">  基金会的投资行为必须符合本会的宗旨，维护基金会的信誉，遵守与捐赠人和受助人的约定，投资取得的收益应当全部用于慈善目的，保证公益支出的实现。</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第三条</w:t>
      </w:r>
      <w:r>
        <w:rPr>
          <w:rFonts w:ascii="仿宋_GB2312" w:eastAsia="仿宋_GB2312" w:hint="eastAsia"/>
          <w:sz w:val="32"/>
          <w:szCs w:val="32"/>
        </w:rPr>
        <w:t xml:space="preserve">  基金会的投资行为必须符合合法性原则，严格遵守国家法律法规，尊重投资的市场规律。</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sz w:val="32"/>
          <w:szCs w:val="32"/>
        </w:rPr>
        <w:t xml:space="preserve">  基金会的投资行为必须符合安全性原则，在综合考虑政策风险、信用风险、利率风险和流动性风险的前提下，尽可能降低和规避风险。</w:t>
      </w:r>
    </w:p>
    <w:p w:rsidR="00686ACE"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第五条</w:t>
      </w:r>
      <w:r>
        <w:rPr>
          <w:rFonts w:ascii="仿宋_GB2312" w:eastAsia="仿宋_GB2312" w:hint="eastAsia"/>
          <w:sz w:val="32"/>
          <w:szCs w:val="32"/>
        </w:rPr>
        <w:t xml:space="preserve">  基金会的投资行为必须符合有效性原则，在合法、安全的前提下，实现资金运作收益的最大化。</w:t>
      </w:r>
    </w:p>
    <w:p w:rsidR="00686ACE" w:rsidRDefault="00686ACE" w:rsidP="0053519C">
      <w:pPr>
        <w:jc w:val="center"/>
        <w:rPr>
          <w:rFonts w:ascii="仿宋_GB2312" w:eastAsia="仿宋_GB2312"/>
          <w:sz w:val="32"/>
          <w:szCs w:val="32"/>
        </w:rPr>
      </w:pPr>
    </w:p>
    <w:p w:rsidR="001F23AC" w:rsidRPr="00686ACE" w:rsidRDefault="000D4BB0" w:rsidP="0053519C">
      <w:pPr>
        <w:jc w:val="center"/>
        <w:rPr>
          <w:rFonts w:ascii="仿宋_GB2312" w:eastAsia="仿宋_GB2312"/>
          <w:sz w:val="32"/>
          <w:szCs w:val="32"/>
        </w:rPr>
      </w:pPr>
      <w:r>
        <w:rPr>
          <w:rFonts w:ascii="黑体" w:eastAsia="黑体" w:hAnsi="黑体" w:hint="eastAsia"/>
          <w:bCs/>
          <w:sz w:val="32"/>
          <w:szCs w:val="32"/>
        </w:rPr>
        <w:lastRenderedPageBreak/>
        <w:t>第二章  投资的资金来源</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第六条</w:t>
      </w:r>
      <w:r>
        <w:rPr>
          <w:rFonts w:ascii="仿宋_GB2312" w:eastAsia="仿宋_GB2312" w:hint="eastAsia"/>
          <w:sz w:val="32"/>
          <w:szCs w:val="32"/>
        </w:rPr>
        <w:t xml:space="preserve">  基金会可以用于投资的财产限于非限定性资产和在投资期间暂不需要拨付的限定性资产。</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基金会接受的政府资助的财产和捐赠协议约定不得投资的财产，不得用于投资。捐赠人对于其捐赠款投资有限制性意见的，基金会不能违背捐赠人意愿开展投资活动。</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第七条</w:t>
      </w:r>
      <w:r>
        <w:rPr>
          <w:rFonts w:ascii="仿宋_GB2312" w:eastAsia="仿宋_GB2312" w:hint="eastAsia"/>
          <w:sz w:val="32"/>
          <w:szCs w:val="32"/>
        </w:rPr>
        <w:t xml:space="preserve">  基金会应保持资金的流动性，投资活动不得影响公益支出的实现。</w:t>
      </w:r>
    </w:p>
    <w:p w:rsidR="00686ACE" w:rsidRDefault="00686ACE" w:rsidP="0053519C">
      <w:pPr>
        <w:pStyle w:val="a7"/>
        <w:spacing w:before="0" w:beforeAutospacing="0" w:after="0" w:afterAutospacing="0"/>
        <w:jc w:val="center"/>
        <w:rPr>
          <w:rFonts w:ascii="黑体" w:eastAsia="黑体" w:hAnsi="黑体"/>
          <w:bCs/>
          <w:sz w:val="32"/>
          <w:szCs w:val="32"/>
        </w:rPr>
      </w:pPr>
    </w:p>
    <w:p w:rsidR="001F23AC" w:rsidRDefault="000D4BB0" w:rsidP="0053519C">
      <w:pPr>
        <w:pStyle w:val="a7"/>
        <w:spacing w:before="0" w:beforeAutospacing="0" w:after="0" w:afterAutospacing="0"/>
        <w:jc w:val="center"/>
        <w:rPr>
          <w:rFonts w:ascii="仿宋_GB2312" w:eastAsia="仿宋_GB2312" w:hAnsi="仿宋"/>
          <w:sz w:val="32"/>
          <w:szCs w:val="32"/>
        </w:rPr>
      </w:pPr>
      <w:r>
        <w:rPr>
          <w:rFonts w:ascii="黑体" w:eastAsia="黑体" w:hAnsi="黑体" w:hint="eastAsia"/>
          <w:bCs/>
          <w:sz w:val="32"/>
          <w:szCs w:val="32"/>
        </w:rPr>
        <w:t>第三章  投资的范围和条件</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第八条</w:t>
      </w:r>
      <w:r>
        <w:rPr>
          <w:rFonts w:ascii="仿宋_GB2312" w:eastAsia="仿宋_GB2312" w:hint="eastAsia"/>
          <w:sz w:val="32"/>
          <w:szCs w:val="32"/>
        </w:rPr>
        <w:t xml:space="preserve">  基金会除银行存款和接受股权捐赠之外，开展投资活动应当采用下列方式： </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（一）直接购买银行、信托、证券、基金、期货、保险资产管理机构、金融资产投资公司等金融机构发行的资产管理产品；</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（二）通过发起设立、并购、参股等方式直接进行股权投资；</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（三）将财产委托给受金融监督管理部门监管的机构进行投资。</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第九条</w:t>
      </w:r>
      <w:r>
        <w:rPr>
          <w:rFonts w:ascii="仿宋_GB2312" w:eastAsia="仿宋_GB2312" w:hint="eastAsia"/>
          <w:sz w:val="32"/>
          <w:szCs w:val="32"/>
        </w:rPr>
        <w:t xml:space="preserve">  基金会直接购买的理财产品限于自主风险评级为风险水平最低的一级或者二级，直接购买的债券限于国债和其他政府债券，政策性、开放性银行债券，以及信用评级机构评定的AAA级的企业（公司）债券和金融债券，直接购买的信托产品限</w:t>
      </w:r>
      <w:r>
        <w:rPr>
          <w:rFonts w:ascii="仿宋_GB2312" w:eastAsia="仿宋_GB2312" w:hint="eastAsia"/>
          <w:sz w:val="32"/>
          <w:szCs w:val="32"/>
        </w:rPr>
        <w:lastRenderedPageBreak/>
        <w:t>于融资类集合资金信托计划和专门为慈善组织设计、发行的单一资金信托计划，信用等级不低于国内信用评级机构评定的A级或者相当于A级的信用级别。</w:t>
      </w:r>
    </w:p>
    <w:p w:rsidR="00686ACE" w:rsidRPr="0053519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第十条</w:t>
      </w:r>
      <w:r>
        <w:rPr>
          <w:rFonts w:ascii="仿宋_GB2312" w:eastAsia="仿宋_GB2312" w:hint="eastAsia"/>
          <w:sz w:val="32"/>
          <w:szCs w:val="32"/>
        </w:rPr>
        <w:t xml:space="preserve">  基金会进行委托投资的，应当委托银行或者其他金融机构进行，选择在中国境内有资质从事投资管理业务，且管理审慎、信誉较高的机构。如在中国注册的基金管理公司、信托投资公司、证券公司、银行或其他符合规定的专业性投资管理机构。</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第十一条</w:t>
      </w:r>
      <w:r>
        <w:rPr>
          <w:rFonts w:ascii="仿宋_GB2312" w:eastAsia="仿宋_GB2312" w:hint="eastAsia"/>
          <w:sz w:val="32"/>
          <w:szCs w:val="32"/>
        </w:rPr>
        <w:t xml:space="preserve">  基金会委托投资时，必须与投资管理机构签订相关委托合同，依照法律法规及本条例对双方的权利义务、委托资产管理方式、投资范围、投资收益分配等内容做出规定。</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基金会应当定期对受托人的管理业绩和管理风险进行评估，并对管理业绩不佳者进行更换。</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第十二条</w:t>
      </w:r>
      <w:r>
        <w:rPr>
          <w:rFonts w:ascii="仿宋_GB2312" w:eastAsia="仿宋_GB2312" w:hint="eastAsia"/>
          <w:sz w:val="32"/>
          <w:szCs w:val="32"/>
        </w:rPr>
        <w:t xml:space="preserve">  基金会直接进行股权投资的，被投资方的经营范围应当与本基金会的宗旨和业务范围相关。基金会仅以出资额对所投资的机构承担有限责任，并依法行使股东或出资人权利。</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 </w:t>
      </w:r>
      <w:r>
        <w:rPr>
          <w:rFonts w:ascii="仿宋_GB2312" w:eastAsia="仿宋_GB2312" w:hint="eastAsia"/>
          <w:b/>
          <w:sz w:val="32"/>
          <w:szCs w:val="32"/>
        </w:rPr>
        <w:t>第十三条</w:t>
      </w:r>
      <w:r>
        <w:rPr>
          <w:rFonts w:ascii="仿宋_GB2312" w:eastAsia="仿宋_GB2312" w:hint="eastAsia"/>
          <w:sz w:val="32"/>
          <w:szCs w:val="32"/>
        </w:rPr>
        <w:t xml:space="preserve">  本基金会禁止以下行为：</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（一）直接买卖股票；</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（二）直接购买商品及金融衍生品类产品；</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（三）投资人身保险产品；</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（四）以投资名义向个人、企业提供借款；</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（五）不符合国家产业政策的投资；</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lastRenderedPageBreak/>
        <w:t>（六）可能使本基金会承担无限责任的投资；</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（七）违背本基金会宗旨、可能损害信誉的投资；</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（八）非法集资等国家法律法规禁止的其他活动。</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 </w:t>
      </w:r>
      <w:r>
        <w:rPr>
          <w:rFonts w:ascii="仿宋_GB2312" w:eastAsia="仿宋_GB2312" w:hint="eastAsia"/>
          <w:b/>
          <w:sz w:val="32"/>
          <w:szCs w:val="32"/>
        </w:rPr>
        <w:t>第十四条</w:t>
      </w:r>
      <w:r>
        <w:rPr>
          <w:rFonts w:ascii="仿宋_GB2312" w:eastAsia="仿宋_GB2312" w:hint="eastAsia"/>
          <w:sz w:val="32"/>
          <w:szCs w:val="32"/>
        </w:rPr>
        <w:t xml:space="preserve">  如果捐赠人对捐赠财产能否投资和如何投资有特别约定，本基金会应遵守约定。</w:t>
      </w:r>
    </w:p>
    <w:p w:rsidR="001F23AC" w:rsidRDefault="001F23AC" w:rsidP="0053519C">
      <w:pPr>
        <w:pStyle w:val="a7"/>
        <w:spacing w:before="0" w:beforeAutospacing="0" w:after="0" w:afterAutospacing="0"/>
        <w:jc w:val="center"/>
        <w:rPr>
          <w:rFonts w:ascii="黑体" w:eastAsia="黑体" w:hAnsi="黑体"/>
          <w:bCs/>
          <w:sz w:val="32"/>
          <w:szCs w:val="32"/>
        </w:rPr>
      </w:pPr>
    </w:p>
    <w:p w:rsidR="001F23AC" w:rsidRDefault="000D4BB0" w:rsidP="0053519C">
      <w:pPr>
        <w:pStyle w:val="a7"/>
        <w:spacing w:before="0" w:beforeAutospacing="0" w:after="0" w:afterAutospacing="0"/>
        <w:jc w:val="center"/>
        <w:rPr>
          <w:rFonts w:ascii="黑体" w:eastAsia="黑体" w:hAnsi="黑体"/>
          <w:bCs/>
          <w:sz w:val="32"/>
          <w:szCs w:val="32"/>
        </w:rPr>
      </w:pPr>
      <w:r>
        <w:rPr>
          <w:rFonts w:ascii="黑体" w:eastAsia="黑体" w:hAnsi="黑体" w:hint="eastAsia"/>
          <w:bCs/>
          <w:sz w:val="32"/>
          <w:szCs w:val="32"/>
        </w:rPr>
        <w:t>第四章  投资的决策、管理和监督</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第十五条</w:t>
      </w:r>
      <w:r>
        <w:rPr>
          <w:rFonts w:ascii="仿宋_GB2312" w:eastAsia="仿宋_GB2312" w:hint="eastAsia"/>
          <w:sz w:val="32"/>
          <w:szCs w:val="32"/>
        </w:rPr>
        <w:t xml:space="preserve">  理事会是基金会的最高投资决策机构，理事会对投资政策、风险控制、合规管理履行以下职责：</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（一）审定投资管理制度及风险控制机制；</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 xml:space="preserve">（二）确定投资战略和风险容忍度； </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（三）确定投资管理机构的选择标准；</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（四）决定年度投资计划及重大投资方案；</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（五）确定对执行机构和有关负责人在投资方面的授权范围；</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（六）检查、监督投资管理工作；</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（七）其他有关投资管理的职责。</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基金会重大投资，是指除银行存款之外，全年单个投资品种或者全年委托单个投资管理机构的投资金额超过300万元。</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第十六条</w:t>
      </w:r>
      <w:r>
        <w:rPr>
          <w:rFonts w:ascii="仿宋_GB2312" w:eastAsia="仿宋_GB2312" w:hint="eastAsia"/>
          <w:sz w:val="32"/>
          <w:szCs w:val="32"/>
        </w:rPr>
        <w:t xml:space="preserve">  为适应投资行业日常运行方式特点，满足投资运作的时效性要求，经理事会批准，建立投资管理委员会（简称“投委会”），投委会由基金会理事代表和相关专家、学者等组成。主</w:t>
      </w:r>
      <w:r>
        <w:rPr>
          <w:rFonts w:ascii="仿宋_GB2312" w:eastAsia="仿宋_GB2312" w:hint="eastAsia"/>
          <w:sz w:val="32"/>
          <w:szCs w:val="32"/>
        </w:rPr>
        <w:lastRenderedPageBreak/>
        <w:t>要行使以下职能：</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（一）从专业化角度对基金会投资行为的政策、法律、金融、市场、风险等问题提供咨询和指导；</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 xml:space="preserve">（二）对基金会的投资行为过程进行跟踪了解和监督，提出意见和建议，确保投资行为合法、安全、有效； </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 xml:space="preserve">（三）对基金会年度投资计划和重大投资行为进行论证，并向理事会报告； </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（四）对具体的投资方案进行考察、论证，开展风险评估，及时发现投资理财项目运行中的问题并预警，提出处理意见；</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（五）根据理事会授权，按照规定流程开展日常投资活动。</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第十七条</w:t>
      </w:r>
      <w:r>
        <w:rPr>
          <w:rFonts w:ascii="仿宋_GB2312" w:eastAsia="仿宋_GB2312" w:hint="eastAsia"/>
          <w:sz w:val="32"/>
          <w:szCs w:val="32"/>
        </w:rPr>
        <w:t xml:space="preserve">  投委会应当建立规范的投资决策议事规则并报理事会审定。投资方案必须经过投委会共同讨论决策，并经投委会三分之二以上成员表决同意。经投委会2/3（含）以上表决同意的日常投资方案可予决策实施。决策记录应载明投资事项、参与表决人的意见并签名，表决结果书面存档。</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理事长（或其授权代表）对于决策通过后的日常（含重大）投资方案审核签发对外投资指令后，由秘书处将结果以书面的形式通知财务部门执行。</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第十八条</w:t>
      </w:r>
      <w:r>
        <w:rPr>
          <w:rFonts w:ascii="仿宋_GB2312" w:eastAsia="仿宋_GB2312" w:hint="eastAsia"/>
          <w:sz w:val="32"/>
          <w:szCs w:val="32"/>
        </w:rPr>
        <w:t xml:space="preserve">  秘书处应经常、全面了解投资项目或投资企业的情况，敦促财务部及时回收到期的本金、利息和分红等收益，依法依规及时进行会计核算。</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lastRenderedPageBreak/>
        <w:t>第十九条</w:t>
      </w:r>
      <w:r>
        <w:rPr>
          <w:rFonts w:ascii="仿宋_GB2312" w:eastAsia="仿宋_GB2312" w:hint="eastAsia"/>
          <w:sz w:val="32"/>
          <w:szCs w:val="32"/>
        </w:rPr>
        <w:t xml:space="preserve">  监事会负责对投资行为进行监督。</w:t>
      </w:r>
    </w:p>
    <w:p w:rsidR="001F23AC" w:rsidRDefault="001F23AC" w:rsidP="0053519C">
      <w:pPr>
        <w:pStyle w:val="a7"/>
        <w:spacing w:before="0" w:beforeAutospacing="0" w:after="0" w:afterAutospacing="0"/>
        <w:jc w:val="center"/>
        <w:rPr>
          <w:rFonts w:ascii="黑体" w:eastAsia="黑体" w:hAnsi="黑体"/>
          <w:bCs/>
          <w:sz w:val="32"/>
          <w:szCs w:val="32"/>
        </w:rPr>
      </w:pPr>
    </w:p>
    <w:p w:rsidR="001F23AC" w:rsidRDefault="000D4BB0" w:rsidP="0053519C">
      <w:pPr>
        <w:pStyle w:val="a7"/>
        <w:spacing w:before="0" w:beforeAutospacing="0" w:after="0" w:afterAutospacing="0"/>
        <w:jc w:val="center"/>
        <w:rPr>
          <w:rFonts w:ascii="黑体" w:eastAsia="黑体" w:hAnsi="黑体"/>
          <w:bCs/>
          <w:sz w:val="32"/>
          <w:szCs w:val="32"/>
        </w:rPr>
      </w:pPr>
      <w:r>
        <w:rPr>
          <w:rFonts w:ascii="黑体" w:eastAsia="黑体" w:hAnsi="黑体" w:hint="eastAsia"/>
          <w:bCs/>
          <w:sz w:val="32"/>
          <w:szCs w:val="32"/>
        </w:rPr>
        <w:t>第五章  投资的风险防范</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第二十条</w:t>
      </w:r>
      <w:r>
        <w:rPr>
          <w:rFonts w:ascii="仿宋_GB2312" w:eastAsia="仿宋_GB2312" w:hint="eastAsia"/>
          <w:sz w:val="32"/>
          <w:szCs w:val="32"/>
        </w:rPr>
        <w:t xml:space="preserve">  基金会的投资行为必须以稳健为基本原则，通过采取多项措施严格防范风险，最大限度确保资金安全，在防范风险的前提下提高投资回报。具体措施包括但不限于：</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（一）根据基金会资金的流动性需求，采用分散投资策略。选择多种金融产品，分散系统风险；选择多家公司合作，分散公司的信用风险。严格控制高风险投资比例。</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二）严格监控风险类资产的投资状况，及时向理事会汇报基金会投资结果。根据基金会风险承受能力，应对投资资产的损失在达到全年投资总额20%后，征求投委会2/3（含）以上认可同意，及时进行止损操作，终止该项投资。</w:t>
      </w:r>
    </w:p>
    <w:p w:rsidR="001F23AC" w:rsidRPr="009B4B55" w:rsidRDefault="000D4BB0" w:rsidP="0053519C">
      <w:pPr>
        <w:ind w:firstLineChars="200" w:firstLine="640"/>
        <w:rPr>
          <w:rFonts w:ascii="仿宋_GB2312" w:eastAsia="仿宋_GB2312"/>
          <w:sz w:val="32"/>
          <w:szCs w:val="32"/>
        </w:rPr>
      </w:pPr>
      <w:r>
        <w:rPr>
          <w:rFonts w:ascii="仿宋_GB2312" w:eastAsia="仿宋_GB2312" w:hint="eastAsia"/>
          <w:sz w:val="32"/>
          <w:szCs w:val="32"/>
        </w:rPr>
        <w:t>（三）建立投资合作单位评价机制。基金会委托专业机构进行投资运作的资产止损，按照委托合同中相关条款规定执行。基金会应当定期对受托人的信用状况和投资能力进行评估分析，必要时及时做出调整。</w:t>
      </w:r>
    </w:p>
    <w:p w:rsidR="009B4B55" w:rsidRDefault="009B4B55" w:rsidP="0053519C">
      <w:pPr>
        <w:pStyle w:val="a7"/>
        <w:spacing w:before="0" w:beforeAutospacing="0" w:after="0" w:afterAutospacing="0"/>
        <w:jc w:val="center"/>
        <w:rPr>
          <w:rFonts w:ascii="黑体" w:eastAsia="黑体" w:hAnsi="黑体"/>
          <w:bCs/>
          <w:sz w:val="32"/>
          <w:szCs w:val="32"/>
        </w:rPr>
      </w:pPr>
    </w:p>
    <w:p w:rsidR="001F23AC" w:rsidRDefault="000D4BB0" w:rsidP="0053519C">
      <w:pPr>
        <w:pStyle w:val="a7"/>
        <w:spacing w:before="0" w:beforeAutospacing="0" w:after="0" w:afterAutospacing="0"/>
        <w:jc w:val="center"/>
        <w:rPr>
          <w:rFonts w:ascii="黑体" w:eastAsia="黑体" w:hAnsi="黑体"/>
          <w:bCs/>
          <w:sz w:val="32"/>
          <w:szCs w:val="32"/>
        </w:rPr>
      </w:pPr>
      <w:r>
        <w:rPr>
          <w:rFonts w:ascii="黑体" w:eastAsia="黑体" w:hAnsi="黑体" w:hint="eastAsia"/>
          <w:bCs/>
          <w:sz w:val="32"/>
          <w:szCs w:val="32"/>
        </w:rPr>
        <w:t>第六章  投资的管理责任</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第二十一条</w:t>
      </w:r>
      <w:r>
        <w:rPr>
          <w:rFonts w:ascii="仿宋_GB2312" w:eastAsia="仿宋_GB2312" w:hint="eastAsia"/>
          <w:sz w:val="32"/>
          <w:szCs w:val="32"/>
        </w:rPr>
        <w:t xml:space="preserve">  基金会的理事长、副理事长、秘书长和工作人员不得在基金会投资的企业兼职或者领取报酬。受基金会委托，</w:t>
      </w:r>
      <w:r>
        <w:rPr>
          <w:rFonts w:ascii="仿宋_GB2312" w:eastAsia="仿宋_GB2312" w:hint="eastAsia"/>
          <w:sz w:val="32"/>
          <w:szCs w:val="32"/>
        </w:rPr>
        <w:lastRenderedPageBreak/>
        <w:t>可以作为股东代表、董事或者监事参与被投资企业的股东会、董事会，但不得在其投资的企业担任与生产经营管理工作有关的职务。基金会相关工作人员不得跟投基金会已投资项目。</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第二十二条</w:t>
      </w:r>
      <w:r>
        <w:rPr>
          <w:rFonts w:ascii="仿宋_GB2312" w:eastAsia="仿宋_GB2312" w:hint="eastAsia"/>
          <w:sz w:val="32"/>
          <w:szCs w:val="32"/>
        </w:rPr>
        <w:t xml:space="preserve">  基金会的发起人、主要捐赠人、负责人、理事来源单位以及其他与基金会之间存在控制、共同控制或者重大影响关系的个人或者组织，当其个人或者组织利益与基金会投资行为关联时，不得参与相关事宜的表决，不得损害基金会的合法权益。</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第二十三条</w:t>
      </w:r>
      <w:r>
        <w:rPr>
          <w:rFonts w:ascii="仿宋_GB2312" w:eastAsia="仿宋_GB2312" w:hint="eastAsia"/>
          <w:sz w:val="32"/>
          <w:szCs w:val="32"/>
        </w:rPr>
        <w:t xml:space="preserve">  </w:t>
      </w:r>
      <w:r w:rsidRPr="00CC6C43">
        <w:rPr>
          <w:rFonts w:ascii="仿宋_GB2312" w:eastAsia="仿宋_GB2312" w:hint="eastAsia"/>
          <w:sz w:val="32"/>
          <w:szCs w:val="32"/>
        </w:rPr>
        <w:t>发生以下行为，对</w:t>
      </w:r>
      <w:r>
        <w:rPr>
          <w:rFonts w:ascii="仿宋_GB2312" w:eastAsia="仿宋_GB2312" w:hint="eastAsia"/>
          <w:sz w:val="32"/>
          <w:szCs w:val="32"/>
        </w:rPr>
        <w:t>有关责任人员视情节轻重给予警告、辞退或开除处分或建议相关机构给予处置措施；造成资产损失的，根据理事会决议进行赔偿；触犯相关法律需要追究责任人刑事责任的，移交司法机关处理：</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（一）未经规定程序审批，擅自投资或处置资产；</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（二）以本基金会资产为自己或他人谋取私利；</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（三）玩忽职守；</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（四）泄漏资产秘密及其他可能损害本基金会信誉的行为；</w:t>
      </w:r>
    </w:p>
    <w:p w:rsidR="001F23AC" w:rsidRDefault="000D4BB0" w:rsidP="0053519C">
      <w:pPr>
        <w:ind w:firstLineChars="200" w:firstLine="640"/>
        <w:rPr>
          <w:rFonts w:ascii="仿宋_GB2312" w:eastAsia="仿宋_GB2312"/>
          <w:sz w:val="32"/>
          <w:szCs w:val="32"/>
        </w:rPr>
      </w:pPr>
      <w:r>
        <w:rPr>
          <w:rFonts w:ascii="仿宋_GB2312" w:eastAsia="仿宋_GB2312" w:hint="eastAsia"/>
          <w:sz w:val="32"/>
          <w:szCs w:val="32"/>
        </w:rPr>
        <w:t>（五）其他可能造成资产损失的行为。</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第二十四条</w:t>
      </w:r>
      <w:r>
        <w:rPr>
          <w:rFonts w:ascii="仿宋_GB2312" w:eastAsia="仿宋_GB2312" w:hint="eastAsia"/>
          <w:sz w:val="32"/>
          <w:szCs w:val="32"/>
        </w:rPr>
        <w:t xml:space="preserve">  由于国家法律法规、政策发生重大变化或出现自然灾害等不可抗力原因造成资产损失的，相关人员可在此限度内免除相应责任。</w:t>
      </w:r>
    </w:p>
    <w:p w:rsidR="00686ACE" w:rsidRDefault="00686ACE" w:rsidP="0053519C">
      <w:pPr>
        <w:pStyle w:val="a7"/>
        <w:spacing w:before="0" w:beforeAutospacing="0" w:after="0" w:afterAutospacing="0"/>
        <w:jc w:val="center"/>
        <w:rPr>
          <w:rFonts w:ascii="黑体" w:eastAsia="黑体" w:hAnsi="黑体"/>
          <w:bCs/>
          <w:sz w:val="32"/>
          <w:szCs w:val="32"/>
        </w:rPr>
      </w:pPr>
    </w:p>
    <w:p w:rsidR="001F23AC" w:rsidRDefault="000D4BB0" w:rsidP="0053519C">
      <w:pPr>
        <w:pStyle w:val="a7"/>
        <w:spacing w:before="0" w:beforeAutospacing="0" w:after="0" w:afterAutospacing="0"/>
        <w:jc w:val="center"/>
        <w:rPr>
          <w:rFonts w:ascii="黑体" w:eastAsia="黑体" w:hAnsi="黑体"/>
          <w:bCs/>
          <w:sz w:val="32"/>
          <w:szCs w:val="32"/>
        </w:rPr>
      </w:pPr>
      <w:r>
        <w:rPr>
          <w:rFonts w:ascii="黑体" w:eastAsia="黑体" w:hAnsi="黑体" w:hint="eastAsia"/>
          <w:bCs/>
          <w:sz w:val="32"/>
          <w:szCs w:val="32"/>
        </w:rPr>
        <w:lastRenderedPageBreak/>
        <w:t>第七章  档案保管及信息公开</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第二十五条</w:t>
      </w:r>
      <w:r>
        <w:rPr>
          <w:rFonts w:ascii="仿宋_GB2312" w:eastAsia="仿宋_GB2312" w:hint="eastAsia"/>
          <w:sz w:val="32"/>
          <w:szCs w:val="32"/>
        </w:rPr>
        <w:t xml:space="preserve">  基金会应当为投资活动建立专项档案，完整保存投资的论证、审批、管理和回收等过程的资料。专项档案的保存时间不得少于20年。</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第二十六条</w:t>
      </w:r>
      <w:r>
        <w:rPr>
          <w:rFonts w:ascii="仿宋_GB2312" w:eastAsia="仿宋_GB2312" w:hint="eastAsia"/>
          <w:sz w:val="32"/>
          <w:szCs w:val="32"/>
        </w:rPr>
        <w:t xml:space="preserve">  基金会按照《基金会管理条例》、《民间非营利组织会计制度》等，对投资资产进行会计核算和信息披露。</w:t>
      </w:r>
    </w:p>
    <w:p w:rsidR="009B4B55" w:rsidRDefault="009B4B55" w:rsidP="0053519C">
      <w:pPr>
        <w:pStyle w:val="a7"/>
        <w:spacing w:before="0" w:beforeAutospacing="0" w:after="0" w:afterAutospacing="0"/>
        <w:jc w:val="center"/>
        <w:rPr>
          <w:rFonts w:ascii="黑体" w:eastAsia="黑体" w:hAnsi="黑体"/>
          <w:bCs/>
          <w:sz w:val="32"/>
          <w:szCs w:val="32"/>
        </w:rPr>
      </w:pPr>
    </w:p>
    <w:p w:rsidR="001F23AC" w:rsidRDefault="000D4BB0" w:rsidP="0053519C">
      <w:pPr>
        <w:pStyle w:val="a7"/>
        <w:spacing w:before="0" w:beforeAutospacing="0" w:after="0" w:afterAutospacing="0"/>
        <w:jc w:val="center"/>
        <w:rPr>
          <w:rFonts w:ascii="黑体" w:eastAsia="黑体" w:hAnsi="黑体"/>
          <w:bCs/>
          <w:sz w:val="32"/>
          <w:szCs w:val="32"/>
        </w:rPr>
      </w:pPr>
      <w:r>
        <w:rPr>
          <w:rFonts w:ascii="黑体" w:eastAsia="黑体" w:hAnsi="黑体" w:hint="eastAsia"/>
          <w:bCs/>
          <w:sz w:val="32"/>
          <w:szCs w:val="32"/>
        </w:rPr>
        <w:t>第八章  附  则</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第二十七条</w:t>
      </w:r>
      <w:r>
        <w:rPr>
          <w:rFonts w:ascii="仿宋_GB2312" w:eastAsia="仿宋_GB2312" w:hint="eastAsia"/>
          <w:sz w:val="32"/>
          <w:szCs w:val="32"/>
        </w:rPr>
        <w:t xml:space="preserve">  如本办法与国家最新的法律法规等规定发生冲突的，以国家最新规定为准。</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第二十八条</w:t>
      </w:r>
      <w:r>
        <w:rPr>
          <w:rFonts w:ascii="仿宋_GB2312" w:eastAsia="仿宋_GB2312" w:hint="eastAsia"/>
          <w:sz w:val="32"/>
          <w:szCs w:val="32"/>
        </w:rPr>
        <w:t xml:space="preserve">  本办法由基金会理事会制订，本办法的解释权和修改权属于理事会。</w:t>
      </w:r>
    </w:p>
    <w:p w:rsidR="001F23AC" w:rsidRDefault="000D4BB0" w:rsidP="0053519C">
      <w:pPr>
        <w:ind w:firstLineChars="200" w:firstLine="643"/>
        <w:rPr>
          <w:rFonts w:ascii="仿宋_GB2312" w:eastAsia="仿宋_GB2312"/>
          <w:sz w:val="32"/>
          <w:szCs w:val="32"/>
        </w:rPr>
      </w:pPr>
      <w:r>
        <w:rPr>
          <w:rFonts w:ascii="仿宋_GB2312" w:eastAsia="仿宋_GB2312" w:hint="eastAsia"/>
          <w:b/>
          <w:sz w:val="32"/>
          <w:szCs w:val="32"/>
        </w:rPr>
        <w:t>第二十九条</w:t>
      </w:r>
      <w:r>
        <w:rPr>
          <w:rFonts w:ascii="仿宋_GB2312" w:eastAsia="仿宋_GB2312" w:hint="eastAsia"/>
          <w:sz w:val="32"/>
          <w:szCs w:val="32"/>
        </w:rPr>
        <w:t xml:space="preserve">  本办法自基金会第二届理事会第五次会议通过之日起执行。</w:t>
      </w:r>
    </w:p>
    <w:p w:rsidR="001F23AC" w:rsidRDefault="001F23AC" w:rsidP="0053519C">
      <w:pPr>
        <w:rPr>
          <w:rFonts w:ascii="仿宋_GB2312" w:eastAsia="仿宋_GB2312"/>
          <w:sz w:val="32"/>
          <w:szCs w:val="32"/>
        </w:rPr>
      </w:pPr>
    </w:p>
    <w:p w:rsidR="001F23AC" w:rsidRDefault="001F23AC" w:rsidP="0053519C">
      <w:pPr>
        <w:rPr>
          <w:rFonts w:ascii="仿宋_GB2312" w:eastAsia="仿宋_GB2312"/>
          <w:sz w:val="32"/>
          <w:szCs w:val="32"/>
        </w:rPr>
      </w:pPr>
    </w:p>
    <w:p w:rsidR="001F23AC" w:rsidRDefault="001F23AC" w:rsidP="0053519C">
      <w:pPr>
        <w:rPr>
          <w:rFonts w:ascii="仿宋_GB2312" w:eastAsia="仿宋_GB2312"/>
          <w:sz w:val="32"/>
          <w:szCs w:val="32"/>
        </w:rPr>
      </w:pPr>
    </w:p>
    <w:p w:rsidR="00686ACE" w:rsidRDefault="00686ACE" w:rsidP="0053519C">
      <w:pPr>
        <w:rPr>
          <w:rFonts w:ascii="仿宋_GB2312" w:eastAsia="仿宋_GB2312"/>
          <w:sz w:val="32"/>
          <w:szCs w:val="32"/>
        </w:rPr>
      </w:pPr>
    </w:p>
    <w:p w:rsidR="00686ACE" w:rsidRDefault="00686ACE" w:rsidP="0053519C">
      <w:pPr>
        <w:rPr>
          <w:rFonts w:ascii="仿宋_GB2312" w:eastAsia="仿宋_GB2312"/>
          <w:sz w:val="32"/>
          <w:szCs w:val="32"/>
        </w:rPr>
      </w:pPr>
    </w:p>
    <w:p w:rsidR="00851434" w:rsidRDefault="00851434" w:rsidP="00851434">
      <w:pPr>
        <w:ind w:firstLineChars="200" w:firstLine="640"/>
        <w:rPr>
          <w:rFonts w:ascii="仿宋_GB2312" w:eastAsia="仿宋_GB2312"/>
          <w:sz w:val="32"/>
          <w:szCs w:val="32"/>
        </w:rPr>
      </w:pPr>
    </w:p>
    <w:p w:rsidR="001F23AC" w:rsidRDefault="00851434" w:rsidP="00851434">
      <w:pPr>
        <w:rPr>
          <w:rFonts w:ascii="仿宋_GB2312" w:eastAsia="仿宋_GB2312"/>
          <w:sz w:val="32"/>
          <w:szCs w:val="32"/>
        </w:rPr>
      </w:pPr>
      <w:r>
        <w:rPr>
          <w:rFonts w:ascii="仿宋" w:eastAsia="仿宋" w:hAnsi="仿宋" w:cs="仿宋_GB2312"/>
          <w:noProof/>
          <w:kern w:val="0"/>
          <w:sz w:val="32"/>
          <w:szCs w:val="32"/>
        </w:rPr>
        <w:pict>
          <v:shapetype id="_x0000_t32" coordsize="21600,21600" o:spt="32" o:oned="t" path="m,l21600,21600e" filled="f">
            <v:path arrowok="t" fillok="f" o:connecttype="none"/>
            <o:lock v:ext="edit" shapetype="t"/>
          </v:shapetype>
          <v:shape id="_x0000_s1027" type="#_x0000_t32" style="position:absolute;left:0;text-align:left;margin-left:3.45pt;margin-top:.15pt;width:430pt;height:0;z-index:251662336" o:connectortype="straight"/>
        </w:pict>
      </w:r>
      <w:r>
        <w:rPr>
          <w:rFonts w:ascii="仿宋" w:eastAsia="仿宋" w:hAnsi="仿宋" w:cs="仿宋_GB2312"/>
          <w:noProof/>
          <w:kern w:val="0"/>
          <w:sz w:val="32"/>
          <w:szCs w:val="32"/>
        </w:rPr>
        <w:pict>
          <v:shape id="_x0000_s1028" type="#_x0000_t32" style="position:absolute;left:0;text-align:left;margin-left:3.45pt;margin-top:33.7pt;width:430pt;height:0;z-index:251663360" o:connectortype="straight"/>
        </w:pict>
      </w:r>
      <w:r w:rsidRPr="00F2081B">
        <w:rPr>
          <w:rFonts w:ascii="仿宋" w:eastAsia="仿宋" w:hAnsi="仿宋" w:cs="仿宋_GB2312" w:hint="eastAsia"/>
          <w:kern w:val="0"/>
          <w:sz w:val="32"/>
          <w:szCs w:val="32"/>
        </w:rPr>
        <w:t>浙江工商大学教育基金会秘书处</w:t>
      </w:r>
      <w:r>
        <w:rPr>
          <w:rFonts w:ascii="仿宋" w:eastAsia="仿宋" w:hAnsi="仿宋" w:cs="仿宋_GB2312" w:hint="eastAsia"/>
          <w:kern w:val="0"/>
          <w:sz w:val="32"/>
          <w:szCs w:val="32"/>
        </w:rPr>
        <w:t xml:space="preserve">   </w:t>
      </w:r>
      <w:r w:rsidRPr="00F2081B">
        <w:rPr>
          <w:rFonts w:ascii="仿宋" w:eastAsia="仿宋" w:hAnsi="仿宋" w:cs="仿宋_GB2312" w:hint="eastAsia"/>
          <w:kern w:val="0"/>
          <w:sz w:val="32"/>
          <w:szCs w:val="32"/>
        </w:rPr>
        <w:t>二〇一</w:t>
      </w:r>
      <w:r>
        <w:rPr>
          <w:rFonts w:ascii="仿宋" w:eastAsia="仿宋" w:hAnsi="仿宋" w:cs="仿宋_GB2312" w:hint="eastAsia"/>
          <w:kern w:val="0"/>
          <w:sz w:val="32"/>
          <w:szCs w:val="32"/>
        </w:rPr>
        <w:t>九</w:t>
      </w:r>
      <w:r w:rsidRPr="00F2081B">
        <w:rPr>
          <w:rFonts w:ascii="仿宋" w:eastAsia="仿宋" w:hAnsi="仿宋" w:cs="仿宋_GB2312" w:hint="eastAsia"/>
          <w:kern w:val="0"/>
          <w:sz w:val="32"/>
          <w:szCs w:val="32"/>
        </w:rPr>
        <w:t>年</w:t>
      </w:r>
      <w:r>
        <w:rPr>
          <w:rFonts w:ascii="仿宋" w:eastAsia="仿宋" w:hAnsi="仿宋" w:cs="仿宋_GB2312" w:hint="eastAsia"/>
          <w:kern w:val="0"/>
          <w:sz w:val="32"/>
          <w:szCs w:val="32"/>
        </w:rPr>
        <w:t>六</w:t>
      </w:r>
      <w:r w:rsidRPr="00F2081B">
        <w:rPr>
          <w:rFonts w:ascii="仿宋" w:eastAsia="仿宋" w:hAnsi="仿宋" w:cs="仿宋_GB2312" w:hint="eastAsia"/>
          <w:kern w:val="0"/>
          <w:sz w:val="32"/>
          <w:szCs w:val="32"/>
        </w:rPr>
        <w:t>月</w:t>
      </w:r>
      <w:r>
        <w:rPr>
          <w:rFonts w:ascii="仿宋" w:eastAsia="仿宋" w:hAnsi="仿宋" w:cs="仿宋_GB2312" w:hint="eastAsia"/>
          <w:kern w:val="0"/>
          <w:sz w:val="32"/>
          <w:szCs w:val="32"/>
        </w:rPr>
        <w:t>四</w:t>
      </w:r>
      <w:r w:rsidRPr="00F2081B">
        <w:rPr>
          <w:rFonts w:ascii="仿宋" w:eastAsia="仿宋" w:hAnsi="仿宋" w:cs="仿宋_GB2312" w:hint="eastAsia"/>
          <w:kern w:val="0"/>
          <w:sz w:val="32"/>
          <w:szCs w:val="32"/>
        </w:rPr>
        <w:t>日</w:t>
      </w:r>
      <w:r>
        <w:rPr>
          <w:rFonts w:ascii="仿宋" w:eastAsia="仿宋" w:hAnsi="仿宋" w:cs="仿宋_GB2312" w:hint="eastAsia"/>
          <w:kern w:val="0"/>
          <w:sz w:val="32"/>
          <w:szCs w:val="32"/>
        </w:rPr>
        <w:t>印发</w:t>
      </w:r>
      <w:r>
        <w:rPr>
          <w:rFonts w:ascii="仿宋_GB2312" w:eastAsia="仿宋_GB2312" w:hint="eastAsia"/>
          <w:sz w:val="32"/>
          <w:szCs w:val="32"/>
        </w:rPr>
        <w:t xml:space="preserve">    </w:t>
      </w:r>
    </w:p>
    <w:sectPr w:rsidR="001F23AC" w:rsidSect="001F23AC">
      <w:headerReference w:type="default" r:id="rId7"/>
      <w:pgSz w:w="11906" w:h="16838"/>
      <w:pgMar w:top="2211"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B44" w:rsidRDefault="00293B44" w:rsidP="001F23AC">
      <w:pPr>
        <w:spacing w:line="240" w:lineRule="auto"/>
      </w:pPr>
      <w:r>
        <w:separator/>
      </w:r>
    </w:p>
  </w:endnote>
  <w:endnote w:type="continuationSeparator" w:id="1">
    <w:p w:rsidR="00293B44" w:rsidRDefault="00293B44" w:rsidP="001F23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B44" w:rsidRDefault="00293B44" w:rsidP="001F23AC">
      <w:pPr>
        <w:spacing w:line="240" w:lineRule="auto"/>
      </w:pPr>
      <w:r>
        <w:separator/>
      </w:r>
    </w:p>
  </w:footnote>
  <w:footnote w:type="continuationSeparator" w:id="1">
    <w:p w:rsidR="00293B44" w:rsidRDefault="00293B44" w:rsidP="001F23A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3AC" w:rsidRDefault="001F23AC">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7B0B"/>
    <w:rsid w:val="00031E3B"/>
    <w:rsid w:val="00031E9D"/>
    <w:rsid w:val="000762F8"/>
    <w:rsid w:val="000B05BF"/>
    <w:rsid w:val="000B18E1"/>
    <w:rsid w:val="000B4477"/>
    <w:rsid w:val="000D4BB0"/>
    <w:rsid w:val="001F23AC"/>
    <w:rsid w:val="00214D14"/>
    <w:rsid w:val="002176EC"/>
    <w:rsid w:val="00224A55"/>
    <w:rsid w:val="00232956"/>
    <w:rsid w:val="002351C7"/>
    <w:rsid w:val="0023673C"/>
    <w:rsid w:val="0023753E"/>
    <w:rsid w:val="00247AB2"/>
    <w:rsid w:val="00253D79"/>
    <w:rsid w:val="0025567A"/>
    <w:rsid w:val="00273005"/>
    <w:rsid w:val="00281E29"/>
    <w:rsid w:val="00293B44"/>
    <w:rsid w:val="002B672A"/>
    <w:rsid w:val="002D4B5C"/>
    <w:rsid w:val="003018DC"/>
    <w:rsid w:val="003C5725"/>
    <w:rsid w:val="003C7943"/>
    <w:rsid w:val="003D272B"/>
    <w:rsid w:val="003D3FCE"/>
    <w:rsid w:val="003E555E"/>
    <w:rsid w:val="003F5213"/>
    <w:rsid w:val="00415F81"/>
    <w:rsid w:val="004466C1"/>
    <w:rsid w:val="0047683B"/>
    <w:rsid w:val="00477817"/>
    <w:rsid w:val="004A78FF"/>
    <w:rsid w:val="004E0E1E"/>
    <w:rsid w:val="00501D82"/>
    <w:rsid w:val="00502DCA"/>
    <w:rsid w:val="00517225"/>
    <w:rsid w:val="0053519C"/>
    <w:rsid w:val="00547A69"/>
    <w:rsid w:val="00554BF5"/>
    <w:rsid w:val="00563282"/>
    <w:rsid w:val="00590CE0"/>
    <w:rsid w:val="005C618D"/>
    <w:rsid w:val="005C7207"/>
    <w:rsid w:val="005C795C"/>
    <w:rsid w:val="005D22D1"/>
    <w:rsid w:val="00607C22"/>
    <w:rsid w:val="00653221"/>
    <w:rsid w:val="00665CF6"/>
    <w:rsid w:val="00682470"/>
    <w:rsid w:val="00686ACE"/>
    <w:rsid w:val="0069486A"/>
    <w:rsid w:val="006B76B6"/>
    <w:rsid w:val="006C6CA9"/>
    <w:rsid w:val="006F6A21"/>
    <w:rsid w:val="00707B67"/>
    <w:rsid w:val="00715884"/>
    <w:rsid w:val="007179CD"/>
    <w:rsid w:val="0078256C"/>
    <w:rsid w:val="007A30BE"/>
    <w:rsid w:val="007B4DF1"/>
    <w:rsid w:val="007C27E0"/>
    <w:rsid w:val="007F7C05"/>
    <w:rsid w:val="00800D18"/>
    <w:rsid w:val="00803CD9"/>
    <w:rsid w:val="008158F9"/>
    <w:rsid w:val="00842C1C"/>
    <w:rsid w:val="00850BA3"/>
    <w:rsid w:val="00851434"/>
    <w:rsid w:val="00862625"/>
    <w:rsid w:val="008816D7"/>
    <w:rsid w:val="00890005"/>
    <w:rsid w:val="00891A57"/>
    <w:rsid w:val="008A08C7"/>
    <w:rsid w:val="008E1635"/>
    <w:rsid w:val="008F4836"/>
    <w:rsid w:val="00900058"/>
    <w:rsid w:val="009232FD"/>
    <w:rsid w:val="00953558"/>
    <w:rsid w:val="00953EA4"/>
    <w:rsid w:val="009709AD"/>
    <w:rsid w:val="0098586D"/>
    <w:rsid w:val="0099092C"/>
    <w:rsid w:val="009A1B30"/>
    <w:rsid w:val="009A64C0"/>
    <w:rsid w:val="009B4B55"/>
    <w:rsid w:val="009E09EB"/>
    <w:rsid w:val="00A0018C"/>
    <w:rsid w:val="00A01368"/>
    <w:rsid w:val="00A148E9"/>
    <w:rsid w:val="00A31554"/>
    <w:rsid w:val="00A35AA0"/>
    <w:rsid w:val="00A55675"/>
    <w:rsid w:val="00A634FB"/>
    <w:rsid w:val="00A70D62"/>
    <w:rsid w:val="00A93155"/>
    <w:rsid w:val="00AA71EE"/>
    <w:rsid w:val="00AD57BF"/>
    <w:rsid w:val="00AF3DE5"/>
    <w:rsid w:val="00B94CE9"/>
    <w:rsid w:val="00BB695C"/>
    <w:rsid w:val="00BE155A"/>
    <w:rsid w:val="00C2332B"/>
    <w:rsid w:val="00C44029"/>
    <w:rsid w:val="00C66291"/>
    <w:rsid w:val="00C8554A"/>
    <w:rsid w:val="00C94D7A"/>
    <w:rsid w:val="00CA0DC7"/>
    <w:rsid w:val="00CC6C43"/>
    <w:rsid w:val="00CF7929"/>
    <w:rsid w:val="00D17B0B"/>
    <w:rsid w:val="00D17E23"/>
    <w:rsid w:val="00D42E9D"/>
    <w:rsid w:val="00D60B58"/>
    <w:rsid w:val="00D67406"/>
    <w:rsid w:val="00D70857"/>
    <w:rsid w:val="00DB1C55"/>
    <w:rsid w:val="00E0180D"/>
    <w:rsid w:val="00E1214E"/>
    <w:rsid w:val="00E542B6"/>
    <w:rsid w:val="00E739A4"/>
    <w:rsid w:val="00E90B26"/>
    <w:rsid w:val="00EA2359"/>
    <w:rsid w:val="00EF68DE"/>
    <w:rsid w:val="00F42AFA"/>
    <w:rsid w:val="00F710E7"/>
    <w:rsid w:val="00FB5F21"/>
    <w:rsid w:val="00FE1FF6"/>
    <w:rsid w:val="16442B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fillcolor="white">
      <v:fill color="white"/>
    </o:shapedefaults>
    <o:shapelayout v:ext="edit">
      <o:idmap v:ext="edit" data="1"/>
      <o:rules v:ext="edit">
        <o:r id="V:Rule1" type="connector" idref="#_x0000_s1028"/>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3AC"/>
    <w:pPr>
      <w:widowControl w:val="0"/>
      <w:spacing w:line="58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1F23AC"/>
    <w:pPr>
      <w:jc w:val="left"/>
    </w:pPr>
  </w:style>
  <w:style w:type="paragraph" w:styleId="a4">
    <w:name w:val="Balloon Text"/>
    <w:basedOn w:val="a"/>
    <w:link w:val="Char0"/>
    <w:uiPriority w:val="99"/>
    <w:semiHidden/>
    <w:unhideWhenUsed/>
    <w:qFormat/>
    <w:rsid w:val="001F23AC"/>
    <w:rPr>
      <w:sz w:val="18"/>
      <w:szCs w:val="18"/>
    </w:rPr>
  </w:style>
  <w:style w:type="paragraph" w:styleId="a5">
    <w:name w:val="footer"/>
    <w:basedOn w:val="a"/>
    <w:link w:val="Char1"/>
    <w:uiPriority w:val="99"/>
    <w:semiHidden/>
    <w:unhideWhenUsed/>
    <w:qFormat/>
    <w:rsid w:val="001F23A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1F23AC"/>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1F23AC"/>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1F23AC"/>
    <w:rPr>
      <w:b/>
      <w:bCs/>
    </w:rPr>
  </w:style>
  <w:style w:type="character" w:styleId="a9">
    <w:name w:val="Strong"/>
    <w:basedOn w:val="a0"/>
    <w:uiPriority w:val="22"/>
    <w:qFormat/>
    <w:rsid w:val="001F23AC"/>
    <w:rPr>
      <w:b/>
    </w:rPr>
  </w:style>
  <w:style w:type="character" w:styleId="aa">
    <w:name w:val="annotation reference"/>
    <w:basedOn w:val="a0"/>
    <w:uiPriority w:val="99"/>
    <w:semiHidden/>
    <w:unhideWhenUsed/>
    <w:qFormat/>
    <w:rsid w:val="001F23AC"/>
    <w:rPr>
      <w:sz w:val="21"/>
      <w:szCs w:val="21"/>
    </w:rPr>
  </w:style>
  <w:style w:type="character" w:customStyle="1" w:styleId="Char2">
    <w:name w:val="页眉 Char"/>
    <w:basedOn w:val="a0"/>
    <w:link w:val="a6"/>
    <w:uiPriority w:val="99"/>
    <w:qFormat/>
    <w:rsid w:val="001F23AC"/>
    <w:rPr>
      <w:sz w:val="18"/>
      <w:szCs w:val="18"/>
    </w:rPr>
  </w:style>
  <w:style w:type="character" w:customStyle="1" w:styleId="Char1">
    <w:name w:val="页脚 Char"/>
    <w:basedOn w:val="a0"/>
    <w:link w:val="a5"/>
    <w:uiPriority w:val="99"/>
    <w:semiHidden/>
    <w:qFormat/>
    <w:rsid w:val="001F23AC"/>
    <w:rPr>
      <w:sz w:val="18"/>
      <w:szCs w:val="18"/>
    </w:rPr>
  </w:style>
  <w:style w:type="character" w:customStyle="1" w:styleId="Char">
    <w:name w:val="批注文字 Char"/>
    <w:basedOn w:val="a0"/>
    <w:link w:val="a3"/>
    <w:uiPriority w:val="99"/>
    <w:semiHidden/>
    <w:qFormat/>
    <w:rsid w:val="001F23AC"/>
  </w:style>
  <w:style w:type="character" w:customStyle="1" w:styleId="Char3">
    <w:name w:val="批注主题 Char"/>
    <w:basedOn w:val="Char"/>
    <w:link w:val="a8"/>
    <w:uiPriority w:val="99"/>
    <w:semiHidden/>
    <w:qFormat/>
    <w:rsid w:val="001F23AC"/>
    <w:rPr>
      <w:b/>
      <w:bCs/>
    </w:rPr>
  </w:style>
  <w:style w:type="character" w:customStyle="1" w:styleId="Char0">
    <w:name w:val="批注框文本 Char"/>
    <w:basedOn w:val="a0"/>
    <w:link w:val="a4"/>
    <w:uiPriority w:val="99"/>
    <w:semiHidden/>
    <w:rsid w:val="001F23AC"/>
    <w:rPr>
      <w:sz w:val="18"/>
      <w:szCs w:val="18"/>
    </w:rPr>
  </w:style>
  <w:style w:type="paragraph" w:customStyle="1" w:styleId="2">
    <w:name w:val="列出段落2"/>
    <w:basedOn w:val="a"/>
    <w:uiPriority w:val="99"/>
    <w:unhideWhenUsed/>
    <w:qFormat/>
    <w:rsid w:val="001F23AC"/>
    <w:pPr>
      <w:spacing w:beforeLines="50" w:line="360" w:lineRule="auto"/>
      <w:ind w:firstLineChars="200" w:firstLine="420"/>
    </w:pPr>
    <w:rPr>
      <w:rFonts w:ascii="Calibri" w:eastAsia="宋体" w:hAnsi="Calibri" w:cs="Calibri"/>
      <w:szCs w:val="21"/>
    </w:rPr>
  </w:style>
  <w:style w:type="paragraph" w:styleId="ab">
    <w:name w:val="Date"/>
    <w:basedOn w:val="a"/>
    <w:next w:val="a"/>
    <w:link w:val="Char4"/>
    <w:uiPriority w:val="99"/>
    <w:semiHidden/>
    <w:unhideWhenUsed/>
    <w:rsid w:val="00CC6C43"/>
    <w:pPr>
      <w:ind w:leftChars="2500" w:left="100"/>
    </w:pPr>
  </w:style>
  <w:style w:type="character" w:customStyle="1" w:styleId="Char4">
    <w:name w:val="日期 Char"/>
    <w:basedOn w:val="a0"/>
    <w:link w:val="ab"/>
    <w:uiPriority w:val="99"/>
    <w:semiHidden/>
    <w:rsid w:val="00CC6C43"/>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556</Words>
  <Characters>3172</Characters>
  <Application>Microsoft Office Word</Application>
  <DocSecurity>0</DocSecurity>
  <Lines>26</Lines>
  <Paragraphs>7</Paragraphs>
  <ScaleCrop>false</ScaleCrop>
  <Company>微软中国</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ZJGS-010</cp:lastModifiedBy>
  <cp:revision>14</cp:revision>
  <cp:lastPrinted>2019-09-20T07:00:00Z</cp:lastPrinted>
  <dcterms:created xsi:type="dcterms:W3CDTF">2019-05-27T08:09:00Z</dcterms:created>
  <dcterms:modified xsi:type="dcterms:W3CDTF">2019-09-25T07:31:00Z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